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sz w:val="18"/>
          <w:szCs w:val="18"/>
        </w:rPr>
        <w:t>可检验项目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一致性、重复性、方位、通电、响应阈值、电源参数波动、环境光线干扰试验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sz w:val="18"/>
          <w:szCs w:val="18"/>
        </w:rPr>
        <w:t>光学轨道平直度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ascii="宋体" w:hAnsi="宋体" w:eastAsia="宋体" w:cs="宋体"/>
          <w:sz w:val="18"/>
          <w:szCs w:val="18"/>
        </w:rPr>
        <w:t>小于0.04mm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sz w:val="18"/>
          <w:szCs w:val="18"/>
        </w:rPr>
        <w:t>红外光源辐射能变化量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ascii="宋体" w:hAnsi="宋体" w:eastAsia="宋体" w:cs="宋体"/>
          <w:sz w:val="18"/>
          <w:szCs w:val="18"/>
        </w:rPr>
        <w:t>不大于±5%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sz w:val="18"/>
          <w:szCs w:val="18"/>
        </w:rPr>
        <w:t>环境光线干扰装置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ascii="宋体" w:hAnsi="宋体" w:eastAsia="宋体" w:cs="宋体"/>
          <w:sz w:val="18"/>
          <w:szCs w:val="18"/>
        </w:rPr>
        <w:t xml:space="preserve">光干扰附件与探头支架联动，使用时连接到探头安装支架上，光干扰附件与探头一起移动。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白炽灯:25Ｗ,色温2850Ｋ±100Ｋ，亮1s熄1s，共20 次;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sz w:val="18"/>
          <w:szCs w:val="18"/>
        </w:rPr>
        <w:t>环形荧光灯:直径 308ｍｍ、30Ｗ，亮1s熄1s，共20次;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sz w:val="18"/>
          <w:szCs w:val="18"/>
        </w:rPr>
        <w:t>用上述白炽灯和荧光灯，亮2ｈ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D7A0D"/>
    <w:multiLevelType w:val="singleLevel"/>
    <w:tmpl w:val="D1FD7A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1D8F2A"/>
    <w:multiLevelType w:val="singleLevel"/>
    <w:tmpl w:val="601D8F2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GU3MGZkYzkwYWQ4OTA4MDg1ODE5ZWI2MWY1ODcifQ=="/>
  </w:docVars>
  <w:rsids>
    <w:rsidRoot w:val="00000000"/>
    <w:rsid w:val="28A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2023-02-24T08:03:50Z</dcterms:created>
  <dc:creator>yaozh</dc:creator>
  <cp:lastModifiedBy>Blackeyed</cp:lastModifiedBy>
  <dcterms:modified xsi:type="dcterms:W3CDTF">2023-02-24T08:07:57Z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6445874E5CB245658E2900D5AAFF0C4B</vt:lpwstr>
  </property>
</Properties>
</file>