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ind w:left="0" w:leftChars="0" w:firstLine="0" w:firstLineChars="0"/>
        <w:rPr>
          <w:rFonts w:hint="eastAsia"/>
          <w:sz w:val="24"/>
          <w:szCs w:val="24"/>
        </w:rPr>
      </w:pPr>
      <w:r>
        <w:rPr>
          <w:rFonts w:hint="eastAsia"/>
          <w:sz w:val="24"/>
          <w:szCs w:val="24"/>
        </w:rPr>
        <w:t>附件</w:t>
      </w:r>
      <w:r>
        <w:rPr>
          <w:rFonts w:hint="eastAsia"/>
          <w:sz w:val="24"/>
          <w:szCs w:val="24"/>
          <w:lang w:val="en-US" w:eastAsia="zh-CN"/>
        </w:rPr>
        <w:t>-</w:t>
      </w:r>
      <w:r>
        <w:rPr>
          <w:rFonts w:hint="eastAsia"/>
          <w:sz w:val="24"/>
          <w:szCs w:val="24"/>
        </w:rPr>
        <w:t>新能源汽车产品技术要求</w:t>
      </w:r>
    </w:p>
    <w:p>
      <w:pPr>
        <w:bidi w:val="0"/>
        <w:ind w:left="0" w:leftChars="0" w:firstLine="0" w:firstLineChars="0"/>
        <w:rPr>
          <w:rFonts w:hint="eastAsia"/>
          <w:sz w:val="24"/>
          <w:szCs w:val="24"/>
        </w:rPr>
      </w:pPr>
    </w:p>
    <w:p>
      <w:pPr>
        <w:bidi w:val="0"/>
        <w:ind w:left="0" w:leftChars="0" w:firstLine="0" w:firstLineChars="0"/>
        <w:jc w:val="center"/>
        <w:rPr>
          <w:rFonts w:hint="eastAsia"/>
          <w:sz w:val="36"/>
          <w:szCs w:val="36"/>
        </w:rPr>
      </w:pPr>
      <w:r>
        <w:rPr>
          <w:rFonts w:hint="eastAsia"/>
          <w:sz w:val="36"/>
          <w:szCs w:val="36"/>
        </w:rPr>
        <w:t>新能源汽车产品技术要求</w:t>
      </w:r>
    </w:p>
    <w:p>
      <w:pPr>
        <w:bidi w:val="0"/>
        <w:ind w:left="0" w:leftChars="0" w:firstLine="0" w:firstLineChars="0"/>
        <w:jc w:val="center"/>
        <w:rPr>
          <w:rFonts w:hint="eastAsia"/>
          <w:sz w:val="36"/>
          <w:szCs w:val="36"/>
        </w:rPr>
      </w:pPr>
    </w:p>
    <w:p>
      <w:pPr>
        <w:bidi w:val="0"/>
        <w:rPr>
          <w:rFonts w:hint="eastAsia"/>
        </w:rPr>
      </w:pPr>
      <w:r>
        <w:rPr>
          <w:rFonts w:hint="eastAsia"/>
          <w:lang w:val="en-US" w:eastAsia="zh-CN"/>
        </w:rPr>
        <w:t>一、</w:t>
      </w:r>
      <w:r>
        <w:rPr>
          <w:rFonts w:hint="eastAsia"/>
        </w:rPr>
        <w:t>新能源乘用车技术要求</w:t>
      </w:r>
    </w:p>
    <w:p>
      <w:pPr>
        <w:bidi w:val="0"/>
        <w:rPr>
          <w:rFonts w:hint="eastAsia"/>
        </w:rPr>
      </w:pPr>
      <w:r>
        <w:rPr>
          <w:rFonts w:hint="eastAsia"/>
        </w:rPr>
        <w:t>1.纯电动乘用车30分钟最高车速不低于100km/h。</w:t>
      </w:r>
    </w:p>
    <w:p>
      <w:pPr>
        <w:bidi w:val="0"/>
        <w:rPr>
          <w:rFonts w:hint="eastAsia"/>
        </w:rPr>
      </w:pPr>
      <w:r>
        <w:rPr>
          <w:rFonts w:hint="eastAsia"/>
        </w:rPr>
        <w:t>2.纯电动乘用车续驶里程不低于200km。</w:t>
      </w:r>
    </w:p>
    <w:p>
      <w:pPr>
        <w:bidi w:val="0"/>
        <w:rPr>
          <w:rFonts w:hint="eastAsia" w:eastAsiaTheme="minorEastAsia"/>
          <w:lang w:eastAsia="zh-CN"/>
        </w:rPr>
      </w:pPr>
      <w:r>
        <w:rPr>
          <w:rFonts w:hint="eastAsia"/>
        </w:rPr>
        <w:t>3.纯电动乘用车动力电池系统的质量能量密度不低于125Wh/kg</w:t>
      </w:r>
      <w:r>
        <w:rPr>
          <w:rFonts w:hint="eastAsia"/>
          <w:lang w:eastAsia="zh-CN"/>
        </w:rPr>
        <w:t>。</w:t>
      </w:r>
    </w:p>
    <w:p>
      <w:pPr>
        <w:bidi w:val="0"/>
        <w:rPr>
          <w:rFonts w:hint="eastAsia" w:eastAsiaTheme="minorEastAsia"/>
          <w:lang w:eastAsia="zh-CN"/>
        </w:rPr>
      </w:pPr>
      <w:r>
        <w:rPr>
          <w:rFonts w:hint="eastAsia"/>
        </w:rPr>
        <w:t>4</w:t>
      </w:r>
      <w:r>
        <w:rPr>
          <w:rFonts w:hint="eastAsia"/>
          <w:lang w:val="en-US" w:eastAsia="zh-CN"/>
        </w:rPr>
        <w:t>.</w:t>
      </w:r>
      <w:r>
        <w:rPr>
          <w:rFonts w:hint="eastAsia"/>
        </w:rPr>
        <w:t>对按照GB/T18386.1-2021《电动汽车能量消耗量和续驶里程试验方法第1部分</w:t>
      </w:r>
      <w:r>
        <w:rPr>
          <w:rFonts w:hint="eastAsia"/>
          <w:lang w:eastAsia="zh-CN"/>
        </w:rPr>
        <w:t>：</w:t>
      </w:r>
      <w:r>
        <w:rPr>
          <w:rFonts w:hint="eastAsia"/>
        </w:rPr>
        <w:t>轻型汽车》中“附录A”进行检测的纯电动乘用车车型，其低温里程衰减率不超过35%的，电池系统能量密度应不低于95Wh/kg续驶里程不低于120km。5.纯电动乘用车产品，按整车整备质量(m，kg)的不同，百公里电能消耗量目标值(Y)应满足以下要求:m</w:t>
      </w:r>
      <w:r>
        <w:rPr>
          <w:rFonts w:hint="eastAsia"/>
          <w:lang w:val="en-US" w:eastAsia="zh-CN"/>
        </w:rPr>
        <w:t>≤</w:t>
      </w:r>
      <w:r>
        <w:rPr>
          <w:rFonts w:hint="eastAsia"/>
        </w:rPr>
        <w:t>1000时，Y</w:t>
      </w:r>
      <w:r>
        <w:rPr>
          <w:rFonts w:hint="eastAsia"/>
          <w:lang w:val="en-US" w:eastAsia="zh-CN"/>
        </w:rPr>
        <w:t>≤</w:t>
      </w:r>
      <w:r>
        <w:rPr>
          <w:rFonts w:hint="eastAsia"/>
        </w:rPr>
        <w:t>0.0112</w:t>
      </w:r>
      <w:r>
        <w:rPr>
          <w:rFonts w:hint="eastAsia"/>
          <w:lang w:val="en-US" w:eastAsia="zh-CN"/>
        </w:rPr>
        <w:t>×</w:t>
      </w:r>
      <w:r>
        <w:rPr>
          <w:rFonts w:hint="eastAsia"/>
        </w:rPr>
        <w:t>m+0.4</w:t>
      </w:r>
      <w:r>
        <w:rPr>
          <w:rFonts w:hint="eastAsia"/>
          <w:lang w:eastAsia="zh-CN"/>
        </w:rPr>
        <w:t>；</w:t>
      </w:r>
      <w:r>
        <w:rPr>
          <w:rFonts w:hint="eastAsia"/>
        </w:rPr>
        <w:t>1000&lt;m</w:t>
      </w:r>
      <w:r>
        <w:rPr>
          <w:rFonts w:hint="eastAsia"/>
          <w:lang w:val="en-US" w:eastAsia="zh-CN"/>
        </w:rPr>
        <w:t>≤</w:t>
      </w:r>
      <w:r>
        <w:rPr>
          <w:rFonts w:hint="eastAsia"/>
        </w:rPr>
        <w:t>1600时</w:t>
      </w:r>
      <w:r>
        <w:rPr>
          <w:rFonts w:hint="eastAsia"/>
          <w:lang w:eastAsia="zh-CN"/>
        </w:rPr>
        <w:t>，</w:t>
      </w:r>
      <w:r>
        <w:rPr>
          <w:rFonts w:hint="eastAsia"/>
        </w:rPr>
        <w:t>Y</w:t>
      </w:r>
      <w:r>
        <w:rPr>
          <w:rFonts w:hint="eastAsia"/>
          <w:lang w:val="en-US" w:eastAsia="zh-CN"/>
        </w:rPr>
        <w:t>≤</w:t>
      </w:r>
      <w:r>
        <w:rPr>
          <w:rFonts w:hint="eastAsia"/>
        </w:rPr>
        <w:t>0.0078</w:t>
      </w:r>
      <w:r>
        <w:rPr>
          <w:rFonts w:hint="eastAsia"/>
          <w:lang w:val="en-US" w:eastAsia="zh-CN"/>
        </w:rPr>
        <w:t>×</w:t>
      </w:r>
      <w:r>
        <w:rPr>
          <w:rFonts w:hint="eastAsia"/>
        </w:rPr>
        <w:t>m+3.8</w:t>
      </w:r>
      <w:r>
        <w:rPr>
          <w:rFonts w:hint="eastAsia"/>
          <w:lang w:eastAsia="zh-CN"/>
        </w:rPr>
        <w:t>；</w:t>
      </w:r>
      <w:r>
        <w:rPr>
          <w:rFonts w:hint="eastAsia"/>
        </w:rPr>
        <w:t>m&gt;1600时，Y</w:t>
      </w:r>
      <w:r>
        <w:rPr>
          <w:rFonts w:hint="eastAsia"/>
          <w:lang w:val="en-US" w:eastAsia="zh-CN"/>
        </w:rPr>
        <w:t>≤</w:t>
      </w:r>
      <w:r>
        <w:rPr>
          <w:rFonts w:hint="eastAsia"/>
        </w:rPr>
        <w:t>00048</w:t>
      </w:r>
      <w:r>
        <w:rPr>
          <w:rFonts w:hint="eastAsia"/>
          <w:lang w:val="en-US" w:eastAsia="zh-CN"/>
        </w:rPr>
        <w:t>×</w:t>
      </w:r>
      <w:r>
        <w:rPr>
          <w:rFonts w:hint="eastAsia"/>
        </w:rPr>
        <w:t>m+8.60</w:t>
      </w:r>
      <w:r>
        <w:rPr>
          <w:rFonts w:hint="eastAsia"/>
          <w:lang w:eastAsia="zh-CN"/>
        </w:rPr>
        <w:t>。</w:t>
      </w:r>
      <w:bookmarkStart w:id="0" w:name="_GoBack"/>
      <w:bookmarkEnd w:id="0"/>
    </w:p>
    <w:p>
      <w:pPr>
        <w:bidi w:val="0"/>
        <w:rPr>
          <w:rFonts w:hint="eastAsia"/>
        </w:rPr>
      </w:pPr>
      <w:r>
        <w:rPr>
          <w:rFonts w:hint="eastAsia"/>
        </w:rPr>
        <w:t>6.插电式(含增程式)混合动力乘用车纯电动续驶里程应满足有条件的等效全电里程不低于43公里</w:t>
      </w:r>
    </w:p>
    <w:p>
      <w:pPr>
        <w:bidi w:val="0"/>
        <w:rPr>
          <w:rFonts w:hint="eastAsia"/>
        </w:rPr>
      </w:pPr>
      <w:r>
        <w:rPr>
          <w:rFonts w:hint="eastAsia"/>
        </w:rPr>
        <w:t>7.插电式(含增程式)混合动力乘用车电量保持模式试验的燃料消耗量(不含电能转化的燃料消耗量)与《乘用车燃料消耗量限值》(GB</w:t>
      </w:r>
      <w:r>
        <w:rPr>
          <w:rFonts w:hint="eastAsia"/>
          <w:lang w:val="en-US" w:eastAsia="zh-CN"/>
        </w:rPr>
        <w:t xml:space="preserve"> </w:t>
      </w:r>
      <w:r>
        <w:rPr>
          <w:rFonts w:hint="eastAsia"/>
        </w:rPr>
        <w:t>19578)中对应车型的燃料消耗量限值相比</w:t>
      </w:r>
      <w:r>
        <w:rPr>
          <w:rFonts w:hint="eastAsia"/>
          <w:lang w:eastAsia="zh-CN"/>
        </w:rPr>
        <w:t>；</w:t>
      </w:r>
      <w:r>
        <w:rPr>
          <w:rFonts w:hint="eastAsia"/>
        </w:rPr>
        <w:t>整备质量为2510kg以下的乘用车，应小于60%</w:t>
      </w:r>
      <w:r>
        <w:rPr>
          <w:rFonts w:hint="eastAsia"/>
          <w:lang w:eastAsia="zh-CN"/>
        </w:rPr>
        <w:t>；</w:t>
      </w:r>
      <w:r>
        <w:rPr>
          <w:rFonts w:hint="eastAsia"/>
        </w:rPr>
        <w:t>整备质量为2510kg及以上的乘用车，应小于65%</w:t>
      </w:r>
      <w:r>
        <w:rPr>
          <w:rFonts w:hint="eastAsia"/>
          <w:lang w:eastAsia="zh-CN"/>
        </w:rPr>
        <w:t>；</w:t>
      </w:r>
      <w:r>
        <w:rPr>
          <w:rFonts w:hint="eastAsia"/>
        </w:rPr>
        <w:t>最大设计总质量超过3500kg的乘用车燃料消耗量限值要求，参照GB 19578中最大设计总质量为3500kg乘用车燃料消耗量限值执行。</w:t>
      </w:r>
    </w:p>
    <w:p>
      <w:pPr>
        <w:bidi w:val="0"/>
        <w:rPr>
          <w:rFonts w:hint="eastAsia"/>
        </w:rPr>
      </w:pPr>
      <w:r>
        <w:rPr>
          <w:rFonts w:hint="eastAsia"/>
        </w:rPr>
        <w:t>8.插电式(含增程式)混合动力乘用车电量消耗模式试验的电能消耗量与同等整备质量纯电动乘用车电能消耗量目标值的比值:整备质量为2510kg以下的乘用车，应小于125%</w:t>
      </w:r>
      <w:r>
        <w:rPr>
          <w:rFonts w:hint="eastAsia"/>
          <w:lang w:eastAsia="zh-CN"/>
        </w:rPr>
        <w:t>；</w:t>
      </w:r>
      <w:r>
        <w:rPr>
          <w:rFonts w:hint="eastAsia"/>
        </w:rPr>
        <w:t>整备质量为2510kg及以上的乘用车，应小于130%。</w:t>
      </w:r>
    </w:p>
    <w:p>
      <w:pPr>
        <w:bidi w:val="0"/>
        <w:rPr>
          <w:rFonts w:hint="eastAsia"/>
        </w:rPr>
      </w:pPr>
      <w:r>
        <w:rPr>
          <w:rFonts w:hint="eastAsia"/>
        </w:rPr>
        <w:t>二、新能源客车技术要求</w:t>
      </w:r>
    </w:p>
    <w:p>
      <w:pPr>
        <w:bidi w:val="0"/>
        <w:rPr>
          <w:rFonts w:hint="eastAsia"/>
        </w:rPr>
      </w:pPr>
      <w:r>
        <w:rPr>
          <w:rFonts w:hint="eastAsia"/>
        </w:rPr>
        <w:t>1.纯电动客车(不含快充类纯电动客车)续驶里程不低于200公里。插电式混合动力 (含增程式)客车纯电续驶里程不低于50公里。</w:t>
      </w:r>
    </w:p>
    <w:p>
      <w:pPr>
        <w:bidi w:val="0"/>
        <w:rPr>
          <w:rFonts w:hint="eastAsia"/>
        </w:rPr>
      </w:pPr>
      <w:r>
        <w:rPr>
          <w:rFonts w:hint="eastAsia"/>
        </w:rPr>
        <w:t>2.单位载质量能量消耗量(E</w:t>
      </w:r>
      <w:r>
        <w:rPr>
          <w:rFonts w:hint="eastAsia"/>
          <w:vertAlign w:val="subscript"/>
        </w:rPr>
        <w:t>kg</w:t>
      </w:r>
      <w:r>
        <w:rPr>
          <w:rFonts w:hint="eastAsia"/>
        </w:rPr>
        <w:t>)不高于0.18Wh/km·kg3非快充类纯电动客车电池系统能量密度不低于135Wh/kg，快充类纯电动客车快充倍率高于3C。</w:t>
      </w:r>
    </w:p>
    <w:p>
      <w:pPr>
        <w:bidi w:val="0"/>
        <w:rPr>
          <w:rFonts w:hint="eastAsia"/>
        </w:rPr>
      </w:pPr>
      <w:r>
        <w:rPr>
          <w:rFonts w:hint="eastAsia"/>
        </w:rPr>
        <w:t>4.汽柴油插电式混合动力(含增程式)客车节油率水平高于40%。非汽柴油插电式混合动力(含增程式)客车节油率水平不作要求</w:t>
      </w:r>
    </w:p>
    <w:p>
      <w:pPr>
        <w:bidi w:val="0"/>
        <w:rPr>
          <w:rFonts w:hint="eastAsia"/>
        </w:rPr>
      </w:pPr>
      <w:r>
        <w:rPr>
          <w:rFonts w:hint="eastAsia"/>
        </w:rPr>
        <w:t>三、新能源货车和专用车技术要求</w:t>
      </w:r>
    </w:p>
    <w:p>
      <w:pPr>
        <w:bidi w:val="0"/>
        <w:rPr>
          <w:rFonts w:hint="eastAsia"/>
        </w:rPr>
      </w:pPr>
      <w:r>
        <w:rPr>
          <w:rFonts w:hint="eastAsia"/>
        </w:rPr>
        <w:t>1.纯电动货车续驶里程不低于80公里。插电式混合动力货车(含增程式)纯电续驶里程不低于50公里。</w:t>
      </w:r>
    </w:p>
    <w:p>
      <w:pPr>
        <w:bidi w:val="0"/>
        <w:rPr>
          <w:rFonts w:hint="eastAsia"/>
        </w:rPr>
      </w:pPr>
      <w:r>
        <w:rPr>
          <w:rFonts w:hint="eastAsia"/>
        </w:rPr>
        <w:t>2.纯电动货车装载动力电池系统能量密度不低于125Wh/kg。对按照GB/T18386.1-2021《电动汽车能量消耗量和续驶里程试验方法第1部分</w:t>
      </w:r>
      <w:r>
        <w:rPr>
          <w:rFonts w:hint="eastAsia"/>
          <w:lang w:eastAsia="zh-CN"/>
        </w:rPr>
        <w:t>：</w:t>
      </w:r>
      <w:r>
        <w:rPr>
          <w:rFonts w:hint="eastAsia"/>
        </w:rPr>
        <w:t>轻型汽车》中“附录A”进行检测的N1类纯电动货车车型，其低温里程衰减率不超过35%的，电池系统能量密度应不低于95Wh/kg。</w:t>
      </w:r>
    </w:p>
    <w:p>
      <w:pPr>
        <w:bidi w:val="0"/>
        <w:rPr>
          <w:rFonts w:hint="eastAsia"/>
        </w:rPr>
      </w:pPr>
      <w:r>
        <w:rPr>
          <w:rFonts w:hint="eastAsia"/>
        </w:rPr>
        <w:t>3.纯电动货车单位载质量能量消耗量 (E</w:t>
      </w:r>
      <w:r>
        <w:rPr>
          <w:rFonts w:hint="eastAsia"/>
          <w:vertAlign w:val="subscript"/>
          <w:lang w:val="en-US" w:eastAsia="zh-CN"/>
        </w:rPr>
        <w:t>kg</w:t>
      </w:r>
      <w:r>
        <w:rPr>
          <w:rFonts w:hint="eastAsia"/>
        </w:rPr>
        <w:t>)不高于0.29Wh/km·kg。作业类纯电动专用车吨百公里电耗(按试验质量)不超过8kWh。</w:t>
      </w:r>
    </w:p>
    <w:p>
      <w:pPr>
        <w:bidi w:val="0"/>
        <w:rPr>
          <w:rFonts w:hint="eastAsia"/>
        </w:rPr>
      </w:pPr>
      <w:r>
        <w:rPr>
          <w:rFonts w:hint="eastAsia"/>
        </w:rPr>
        <w:t>4.汽柴油插电式混合动力货车(含增程式)燃料消耗量(不含电能转化的燃料消耗量)不高于常规燃料消耗量国家标准中对应限值。非汽柴油插电式混合动力货车(含增程式)燃料消耗量不做要求</w:t>
      </w:r>
    </w:p>
    <w:p>
      <w:pPr>
        <w:bidi w:val="0"/>
        <w:rPr>
          <w:rFonts w:hint="eastAsia"/>
        </w:rPr>
      </w:pPr>
      <w:r>
        <w:rPr>
          <w:rFonts w:hint="eastAsia"/>
        </w:rPr>
        <w:t>四、燃料电池汽车技术要求</w:t>
      </w:r>
    </w:p>
    <w:p>
      <w:pPr>
        <w:bidi w:val="0"/>
        <w:rPr>
          <w:rFonts w:hint="eastAsia"/>
        </w:rPr>
      </w:pPr>
      <w:r>
        <w:rPr>
          <w:rFonts w:hint="eastAsia"/>
        </w:rPr>
        <w:t>1.燃料电池系统的额定功率不小于50kW</w:t>
      </w:r>
      <w:r>
        <w:rPr>
          <w:rFonts w:hint="eastAsia"/>
          <w:lang w:eastAsia="zh-CN"/>
        </w:rPr>
        <w:t>，</w:t>
      </w:r>
      <w:r>
        <w:rPr>
          <w:rFonts w:hint="eastAsia"/>
        </w:rPr>
        <w:t>且与驱动电机的额定功率比值不低于50%。</w:t>
      </w:r>
    </w:p>
    <w:p>
      <w:pPr>
        <w:bidi w:val="0"/>
        <w:rPr>
          <w:rFonts w:hint="eastAsia" w:eastAsiaTheme="minorEastAsia"/>
          <w:lang w:eastAsia="zh-CN"/>
        </w:rPr>
      </w:pPr>
      <w:r>
        <w:rPr>
          <w:rFonts w:hint="eastAsia"/>
        </w:rPr>
        <w:t>2.燃料电池汽车所采用的燃料电池启动温度不高于</w:t>
      </w:r>
      <w:r>
        <w:rPr>
          <w:rFonts w:hint="eastAsia"/>
          <w:lang w:val="en-US" w:eastAsia="zh-CN"/>
        </w:rPr>
        <w:t>-</w:t>
      </w:r>
      <w:r>
        <w:rPr>
          <w:rFonts w:hint="eastAsia"/>
        </w:rPr>
        <w:t>30</w:t>
      </w:r>
      <w:r>
        <w:rPr>
          <w:rFonts w:hint="eastAsia"/>
          <w:lang w:val="en-US" w:eastAsia="zh-CN"/>
        </w:rPr>
        <w:t>°</w:t>
      </w:r>
      <w:r>
        <w:rPr>
          <w:rFonts w:hint="eastAsia"/>
        </w:rPr>
        <w:t>C</w:t>
      </w:r>
      <w:r>
        <w:rPr>
          <w:rFonts w:hint="eastAsia"/>
          <w:lang w:eastAsia="zh-CN"/>
        </w:rPr>
        <w:t>。</w:t>
      </w:r>
    </w:p>
    <w:p>
      <w:pPr>
        <w:bidi w:val="0"/>
        <w:rPr>
          <w:rFonts w:hint="eastAsia"/>
        </w:rPr>
      </w:pPr>
      <w:r>
        <w:rPr>
          <w:rFonts w:hint="eastAsia"/>
        </w:rPr>
        <w:t>3.燃料电池乘用车所采用的燃料电池电堆额定功率密度不低于3.0kW/L，系统额定功率密度不低于400W/kg;燃料电池商用车所采用的燃料电池堆额定功率密度不低于2.5kW/L系统额定功率密度不低于300W/kg。</w:t>
      </w:r>
    </w:p>
    <w:p>
      <w:pPr>
        <w:bidi w:val="0"/>
      </w:pPr>
      <w:r>
        <w:rPr>
          <w:rFonts w:hint="eastAsia"/>
        </w:rPr>
        <w:t>4.燃料电池汽车纯氢续驶里程不低于300公里</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FlMWNlMjczYzYwYTE5NWJhOTg5MWNlODIzYzE4MjQifQ=="/>
  </w:docVars>
  <w:rsids>
    <w:rsidRoot w:val="1B050311"/>
    <w:rsid w:val="01E83E06"/>
    <w:rsid w:val="0FBC45E1"/>
    <w:rsid w:val="114452A9"/>
    <w:rsid w:val="15383FDD"/>
    <w:rsid w:val="1B050311"/>
    <w:rsid w:val="20C762BE"/>
    <w:rsid w:val="3BEB3583"/>
    <w:rsid w:val="427376E4"/>
    <w:rsid w:val="4F0040D2"/>
    <w:rsid w:val="794978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1601" w:firstLineChars="200"/>
      <w:jc w:val="both"/>
    </w:pPr>
    <w:rPr>
      <w:rFonts w:ascii="Times New Roman" w:hAnsi="Times New Roman" w:eastAsiaTheme="minorEastAsia" w:cstheme="minorBidi"/>
      <w:kern w:val="2"/>
      <w:sz w:val="24"/>
      <w:szCs w:val="20"/>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rFonts w:ascii="Times New Roman" w:hAnsi="Times New Roman" w:eastAsia="宋体"/>
      <w:b/>
      <w:kern w:val="44"/>
      <w:sz w:val="32"/>
      <w:szCs w:val="32"/>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2023-12-12T06:35:00Z</dcterms:created>
  <dc:creator>Cynicism°</dc:creator>
  <cp:lastModifiedBy>Cynicism°</cp:lastModifiedBy>
  <dcterms:modified xsi:type="dcterms:W3CDTF">2023-12-12T06:49:02Z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30BD572D71AA49BA8FF8A542DDF3DDEB_11</vt:lpwstr>
  </property>
</Properties>
</file>