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08" w:rsidRDefault="000A4A08" w:rsidP="000A4A08">
      <w:pPr>
        <w:ind w:firstLineChars="200" w:firstLine="560"/>
        <w:jc w:val="center"/>
        <w:rPr>
          <w:rFonts w:ascii="黑体" w:eastAsia="黑体" w:hAnsi="黑体" w:cs="宋体" w:hint="eastAsia"/>
          <w:kern w:val="0"/>
          <w:sz w:val="28"/>
          <w:szCs w:val="28"/>
        </w:rPr>
      </w:pPr>
      <w:r w:rsidRPr="00C77A14">
        <w:rPr>
          <w:rFonts w:ascii="黑体" w:eastAsia="黑体" w:hAnsi="黑体" w:cs="宋体" w:hint="eastAsia"/>
          <w:kern w:val="0"/>
          <w:sz w:val="28"/>
          <w:szCs w:val="28"/>
        </w:rPr>
        <w:t>冰箱温升测试的试验箱</w:t>
      </w:r>
      <w:r>
        <w:rPr>
          <w:rFonts w:ascii="黑体" w:eastAsia="黑体" w:hAnsi="黑体" w:cs="宋体" w:hint="eastAsia"/>
          <w:kern w:val="0"/>
          <w:sz w:val="28"/>
          <w:szCs w:val="28"/>
        </w:rPr>
        <w:t>技术要求</w:t>
      </w:r>
    </w:p>
    <w:p w:rsidR="000A4A08" w:rsidRPr="00C77A14" w:rsidRDefault="000A4A08" w:rsidP="000A4A08">
      <w:pPr>
        <w:ind w:firstLineChars="200" w:firstLine="560"/>
        <w:jc w:val="center"/>
        <w:rPr>
          <w:rFonts w:ascii="黑体" w:eastAsia="黑体" w:hAnsi="黑体" w:cs="宋体" w:hint="eastAsia"/>
          <w:kern w:val="0"/>
          <w:sz w:val="28"/>
          <w:szCs w:val="28"/>
        </w:rPr>
      </w:pPr>
    </w:p>
    <w:p w:rsidR="000A4A08" w:rsidRDefault="000A4A08" w:rsidP="000A4A08">
      <w:pPr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hint="eastAsia"/>
        </w:rPr>
        <w:t>用于</w:t>
      </w:r>
      <w:r w:rsidRPr="00926FFD">
        <w:rPr>
          <w:rFonts w:hint="eastAsia"/>
        </w:rPr>
        <w:t>冰箱温升测试</w:t>
      </w:r>
      <w:r>
        <w:rPr>
          <w:rFonts w:hint="eastAsia"/>
        </w:rPr>
        <w:t>的</w:t>
      </w:r>
      <w:r w:rsidRPr="00926FFD">
        <w:rPr>
          <w:rFonts w:hint="eastAsia"/>
        </w:rPr>
        <w:t>试验箱</w:t>
      </w:r>
      <w:r>
        <w:rPr>
          <w:rFonts w:hint="eastAsia"/>
        </w:rPr>
        <w:t>，</w:t>
      </w:r>
      <w:r w:rsidRPr="005008CA">
        <w:rPr>
          <w:rFonts w:ascii="宋体" w:hAnsi="宋体" w:cs="宋体" w:hint="eastAsia"/>
          <w:kern w:val="0"/>
          <w:szCs w:val="21"/>
        </w:rPr>
        <w:t>符合</w:t>
      </w:r>
      <w:r w:rsidRPr="005008CA">
        <w:rPr>
          <w:rFonts w:ascii="宋体" w:hAnsi="宋体" w:cs="宋体"/>
          <w:kern w:val="0"/>
          <w:szCs w:val="21"/>
        </w:rPr>
        <w:t>GB4706</w:t>
      </w:r>
      <w:r>
        <w:rPr>
          <w:rFonts w:ascii="宋体" w:hAnsi="宋体" w:cs="宋体" w:hint="eastAsia"/>
          <w:kern w:val="0"/>
          <w:szCs w:val="21"/>
        </w:rPr>
        <w:t>.13</w:t>
      </w:r>
      <w:r w:rsidRPr="005008CA">
        <w:rPr>
          <w:rFonts w:ascii="宋体" w:hAnsi="宋体" w:cs="宋体" w:hint="eastAsia"/>
          <w:kern w:val="0"/>
          <w:szCs w:val="21"/>
        </w:rPr>
        <w:t>-20</w:t>
      </w:r>
      <w:r>
        <w:rPr>
          <w:rFonts w:ascii="宋体" w:hAnsi="宋体" w:cs="宋体" w:hint="eastAsia"/>
          <w:kern w:val="0"/>
          <w:szCs w:val="21"/>
        </w:rPr>
        <w:t>14</w:t>
      </w:r>
      <w:r w:rsidRPr="005008CA">
        <w:rPr>
          <w:rFonts w:ascii="宋体" w:hAnsi="宋体" w:cs="宋体" w:hint="eastAsia"/>
          <w:kern w:val="0"/>
          <w:szCs w:val="21"/>
        </w:rPr>
        <w:t>标准11.2</w:t>
      </w:r>
      <w:r>
        <w:rPr>
          <w:rFonts w:ascii="宋体" w:hAnsi="宋体" w:cs="宋体" w:hint="eastAsia"/>
          <w:kern w:val="0"/>
          <w:szCs w:val="21"/>
        </w:rPr>
        <w:t>条，并且能满足</w:t>
      </w:r>
      <w:r w:rsidRPr="005008CA">
        <w:rPr>
          <w:rFonts w:ascii="宋体" w:hAnsi="宋体" w:cs="宋体" w:hint="eastAsia"/>
          <w:kern w:val="0"/>
          <w:szCs w:val="21"/>
        </w:rPr>
        <w:t>下述要求</w:t>
      </w:r>
      <w:r>
        <w:rPr>
          <w:rFonts w:ascii="宋体" w:hAnsi="宋体" w:cs="宋体" w:hint="eastAsia"/>
          <w:kern w:val="0"/>
          <w:szCs w:val="21"/>
        </w:rPr>
        <w:t>：</w:t>
      </w:r>
    </w:p>
    <w:p w:rsidR="000A4A08" w:rsidRDefault="000A4A08" w:rsidP="000A4A0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、测试箱，五面有黑胶合板，正面无胶合板。</w:t>
      </w:r>
      <w:r w:rsidRPr="003E4617">
        <w:rPr>
          <w:rFonts w:ascii="宋体" w:cs="宋体" w:hint="eastAsia"/>
          <w:kern w:val="0"/>
          <w:szCs w:val="21"/>
        </w:rPr>
        <w:t>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1</w:t>
        </w:r>
        <w:r w:rsidRPr="003E4617">
          <w:rPr>
            <w:rFonts w:ascii="宋体" w:cs="宋体" w:hint="eastAsia"/>
            <w:kern w:val="0"/>
            <w:szCs w:val="21"/>
          </w:rPr>
          <w:t>5</w:t>
        </w:r>
        <w:r w:rsidRPr="003E4617">
          <w:rPr>
            <w:rFonts w:ascii="宋体" w:cs="宋体"/>
            <w:kern w:val="0"/>
            <w:szCs w:val="21"/>
          </w:rPr>
          <w:t>00mm</w:t>
        </w:r>
      </w:smartTag>
      <w:r w:rsidRPr="003E4617">
        <w:rPr>
          <w:rFonts w:ascii="宋体" w:cs="宋体" w:hint="eastAsia"/>
          <w:kern w:val="0"/>
          <w:szCs w:val="21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1</w:t>
        </w:r>
        <w:r>
          <w:rPr>
            <w:rFonts w:ascii="宋体" w:cs="宋体" w:hint="eastAsia"/>
            <w:kern w:val="0"/>
            <w:szCs w:val="21"/>
          </w:rPr>
          <w:t>0</w:t>
        </w:r>
        <w:r w:rsidRPr="003E4617">
          <w:rPr>
            <w:rFonts w:ascii="宋体" w:cs="宋体"/>
            <w:kern w:val="0"/>
            <w:szCs w:val="21"/>
          </w:rPr>
          <w:t>00mm</w:t>
        </w:r>
      </w:smartTag>
      <w:r w:rsidRPr="003E4617">
        <w:rPr>
          <w:rFonts w:ascii="宋体" w:cs="宋体" w:hint="eastAsia"/>
          <w:kern w:val="0"/>
          <w:szCs w:val="21"/>
        </w:rPr>
        <w:t>、高度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2000mm</w:t>
        </w:r>
      </w:smartTag>
      <w:r w:rsidRPr="003E4617"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t>可</w:t>
      </w:r>
      <w:r w:rsidRPr="0094115D">
        <w:rPr>
          <w:rFonts w:hint="eastAsia"/>
        </w:rPr>
        <w:t>上下、左右调节</w:t>
      </w:r>
      <w:r>
        <w:rPr>
          <w:rFonts w:hint="eastAsia"/>
        </w:rPr>
        <w:t>箱体内部的尺寸，</w:t>
      </w:r>
      <w:r w:rsidRPr="0094115D">
        <w:rPr>
          <w:rFonts w:hint="eastAsia"/>
        </w:rPr>
        <w:t>以满足不同尺寸样品测试需要</w:t>
      </w:r>
      <w:r>
        <w:rPr>
          <w:rFonts w:hint="eastAsia"/>
        </w:rPr>
        <w:t>，应能满足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l"/>
        </w:smartTagPr>
        <w:r>
          <w:rPr>
            <w:rFonts w:hint="eastAsia"/>
          </w:rPr>
          <w:t>500L</w:t>
        </w:r>
      </w:smartTag>
      <w:r>
        <w:rPr>
          <w:rFonts w:hint="eastAsia"/>
        </w:rPr>
        <w:t>以上对开门冰箱检验需要。</w:t>
      </w:r>
    </w:p>
    <w:p w:rsidR="000A4A08" w:rsidRDefault="000A4A08" w:rsidP="000A4A0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、试验箱整体外框架为型材搭建而成，底部装有脚轮，便于移动。测试角底板下有型材结构的承重框架，承载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kg"/>
        </w:smartTagPr>
        <w:r>
          <w:rPr>
            <w:rFonts w:hint="eastAsia"/>
          </w:rPr>
          <w:t>200kg</w:t>
        </w:r>
      </w:smartTag>
      <w:r>
        <w:rPr>
          <w:rFonts w:hint="eastAsia"/>
        </w:rPr>
        <w:t>。</w:t>
      </w:r>
    </w:p>
    <w:p w:rsidR="000A4A08" w:rsidRDefault="000A4A08" w:rsidP="000A4A0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、测温黄铜片安装孔按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>
          <w:rPr>
            <w:rFonts w:hint="eastAsia"/>
          </w:rPr>
          <w:t>100mm</w:t>
        </w:r>
      </w:smartTag>
      <w:r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>
          <w:rPr>
            <w:rFonts w:hint="eastAsia"/>
          </w:rPr>
          <w:t>100mm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（孔中心距）规格分布，孔的直径和深度应适合安装直径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>
          <w:rPr>
            <w:rFonts w:hint="eastAsia"/>
          </w:rPr>
          <w:t>15mm</w:t>
        </w:r>
      </w:smartTag>
      <w:r>
        <w:rPr>
          <w:rFonts w:hint="eastAsia"/>
        </w:rPr>
        <w:t>、厚度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>
          <w:rPr>
            <w:rFonts w:hint="eastAsia"/>
          </w:rPr>
          <w:t>1mm</w:t>
        </w:r>
      </w:smartTag>
      <w:r>
        <w:rPr>
          <w:rFonts w:hint="eastAsia"/>
        </w:rPr>
        <w:t>的黄铜片，不应过大，均匀分布在两面板上（一个固定的侧板及背面板）。整板打孔，热电偶位置可根据试验需要调整（与热电偶连接的测温黄铜片直径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>
          <w:rPr>
            <w:rFonts w:hint="eastAsia"/>
          </w:rPr>
          <w:t>15mm</w:t>
        </w:r>
      </w:smartTag>
      <w:r>
        <w:rPr>
          <w:rFonts w:hint="eastAsia"/>
        </w:rPr>
        <w:t>、厚度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>
          <w:rPr>
            <w:rFonts w:hint="eastAsia"/>
          </w:rPr>
          <w:t>1mm</w:t>
        </w:r>
      </w:smartTag>
      <w:r>
        <w:rPr>
          <w:rFonts w:hint="eastAsia"/>
        </w:rPr>
        <w:t>），没有配备热电偶的孔用黑色橡胶塞塞住，塞住后测试角壁应平整。</w:t>
      </w:r>
    </w:p>
    <w:p w:rsidR="000A4A08" w:rsidRPr="0094115D" w:rsidRDefault="000A4A08" w:rsidP="000A4A0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、顶板拼接采用金属圆柱插接方式；</w:t>
      </w:r>
    </w:p>
    <w:p w:rsidR="000A4A08" w:rsidRPr="00FF6924" w:rsidRDefault="000A4A08" w:rsidP="000A4A0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、示意图如下，实物应全部为黑色胶合板。</w:t>
      </w:r>
    </w:p>
    <w:p w:rsidR="000A4A08" w:rsidRPr="00553276" w:rsidRDefault="000A4A08" w:rsidP="000A4A0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14800" cy="2828925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272" r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08" w:rsidRPr="00C77A14" w:rsidRDefault="000A4A08" w:rsidP="000A4A08"/>
    <w:p w:rsidR="00176FF6" w:rsidRDefault="00176FF6"/>
    <w:sectPr w:rsidR="00176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F6" w:rsidRDefault="00176FF6" w:rsidP="000A4A08">
      <w:r>
        <w:separator/>
      </w:r>
    </w:p>
  </w:endnote>
  <w:endnote w:type="continuationSeparator" w:id="1">
    <w:p w:rsidR="00176FF6" w:rsidRDefault="00176FF6" w:rsidP="000A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F6" w:rsidRDefault="00176FF6" w:rsidP="000A4A08">
      <w:r>
        <w:separator/>
      </w:r>
    </w:p>
  </w:footnote>
  <w:footnote w:type="continuationSeparator" w:id="1">
    <w:p w:rsidR="00176FF6" w:rsidRDefault="00176FF6" w:rsidP="000A4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A08"/>
    <w:rsid w:val="000A4A08"/>
    <w:rsid w:val="0017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A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A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A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A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A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2</cp:revision>
  <dcterms:created xsi:type="dcterms:W3CDTF">2016-09-18T08:10:00Z</dcterms:created>
  <dcterms:modified xsi:type="dcterms:W3CDTF">2016-09-18T08:10:00Z</dcterms:modified>
</cp:coreProperties>
</file>