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BC4" w:rsidRPr="001A1BC4" w:rsidRDefault="001A1BC4" w:rsidP="001A1BC4">
      <w:pPr>
        <w:widowControl/>
        <w:shd w:val="clear" w:color="auto" w:fill="FFFFFF"/>
        <w:spacing w:before="100" w:beforeAutospacing="1" w:after="100" w:afterAutospacing="1"/>
        <w:jc w:val="center"/>
        <w:outlineLvl w:val="2"/>
        <w:rPr>
          <w:rFonts w:ascii="Arial" w:eastAsia="宋体" w:hAnsi="Arial" w:cs="Arial"/>
          <w:b/>
          <w:bCs/>
          <w:color w:val="001497"/>
          <w:kern w:val="0"/>
          <w:sz w:val="36"/>
          <w:szCs w:val="36"/>
        </w:rPr>
      </w:pPr>
      <w:r w:rsidRPr="001A1BC4">
        <w:rPr>
          <w:rFonts w:ascii="Arial" w:eastAsia="宋体" w:hAnsi="Arial" w:cs="Arial"/>
          <w:b/>
          <w:bCs/>
          <w:color w:val="001497"/>
          <w:kern w:val="0"/>
          <w:sz w:val="36"/>
          <w:szCs w:val="36"/>
        </w:rPr>
        <w:t>中华人民共和国产品质量法</w:t>
      </w:r>
    </w:p>
    <w:p w:rsidR="001A1BC4" w:rsidRPr="001A1BC4" w:rsidRDefault="001A1BC4" w:rsidP="001A1BC4">
      <w:pPr>
        <w:widowControl/>
        <w:shd w:val="clear" w:color="auto" w:fill="FFFFFF"/>
        <w:spacing w:line="480" w:lineRule="auto"/>
        <w:jc w:val="left"/>
        <w:rPr>
          <w:rFonts w:ascii="Arial" w:eastAsia="宋体" w:hAnsi="Arial" w:cs="Arial"/>
          <w:color w:val="000000"/>
          <w:kern w:val="0"/>
          <w:sz w:val="24"/>
          <w:szCs w:val="24"/>
        </w:rPr>
      </w:pPr>
      <w:bookmarkStart w:id="0" w:name="_GoBack"/>
      <w:bookmarkEnd w:id="0"/>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w:t>
      </w:r>
      <w:r w:rsidRPr="001A1BC4">
        <w:rPr>
          <w:rFonts w:ascii="Arial" w:eastAsia="宋体" w:hAnsi="Arial" w:cs="Arial"/>
          <w:color w:val="000000"/>
          <w:kern w:val="0"/>
          <w:sz w:val="24"/>
          <w:szCs w:val="24"/>
        </w:rPr>
        <w:t>1993</w:t>
      </w:r>
      <w:r w:rsidRPr="001A1BC4">
        <w:rPr>
          <w:rFonts w:ascii="Arial" w:eastAsia="宋体" w:hAnsi="Arial" w:cs="Arial"/>
          <w:color w:val="000000"/>
          <w:kern w:val="0"/>
          <w:sz w:val="24"/>
          <w:szCs w:val="24"/>
        </w:rPr>
        <w:t>年</w:t>
      </w:r>
      <w:r w:rsidRPr="001A1BC4">
        <w:rPr>
          <w:rFonts w:ascii="Arial" w:eastAsia="宋体" w:hAnsi="Arial" w:cs="Arial"/>
          <w:color w:val="000000"/>
          <w:kern w:val="0"/>
          <w:sz w:val="24"/>
          <w:szCs w:val="24"/>
        </w:rPr>
        <w:t>2</w:t>
      </w:r>
      <w:r w:rsidRPr="001A1BC4">
        <w:rPr>
          <w:rFonts w:ascii="Arial" w:eastAsia="宋体" w:hAnsi="Arial" w:cs="Arial"/>
          <w:color w:val="000000"/>
          <w:kern w:val="0"/>
          <w:sz w:val="24"/>
          <w:szCs w:val="24"/>
        </w:rPr>
        <w:t>月</w:t>
      </w:r>
      <w:r w:rsidRPr="001A1BC4">
        <w:rPr>
          <w:rFonts w:ascii="Arial" w:eastAsia="宋体" w:hAnsi="Arial" w:cs="Arial"/>
          <w:color w:val="000000"/>
          <w:kern w:val="0"/>
          <w:sz w:val="24"/>
          <w:szCs w:val="24"/>
        </w:rPr>
        <w:t>22</w:t>
      </w:r>
      <w:r w:rsidRPr="001A1BC4">
        <w:rPr>
          <w:rFonts w:ascii="Arial" w:eastAsia="宋体" w:hAnsi="Arial" w:cs="Arial"/>
          <w:color w:val="000000"/>
          <w:kern w:val="0"/>
          <w:sz w:val="24"/>
          <w:szCs w:val="24"/>
        </w:rPr>
        <w:t>日第七届全国人民代表大会常务委员会第三十次会议通过</w:t>
      </w:r>
      <w:r w:rsidRPr="001A1BC4">
        <w:rPr>
          <w:rFonts w:ascii="Arial" w:eastAsia="宋体" w:hAnsi="Arial" w:cs="Arial"/>
          <w:color w:val="000000"/>
          <w:kern w:val="0"/>
          <w:sz w:val="24"/>
          <w:szCs w:val="24"/>
        </w:rPr>
        <w:t>    1993</w:t>
      </w:r>
      <w:r w:rsidRPr="001A1BC4">
        <w:rPr>
          <w:rFonts w:ascii="Arial" w:eastAsia="宋体" w:hAnsi="Arial" w:cs="Arial"/>
          <w:color w:val="000000"/>
          <w:kern w:val="0"/>
          <w:sz w:val="24"/>
          <w:szCs w:val="24"/>
        </w:rPr>
        <w:t>年</w:t>
      </w:r>
      <w:r w:rsidRPr="001A1BC4">
        <w:rPr>
          <w:rFonts w:ascii="Arial" w:eastAsia="宋体" w:hAnsi="Arial" w:cs="Arial"/>
          <w:color w:val="000000"/>
          <w:kern w:val="0"/>
          <w:sz w:val="24"/>
          <w:szCs w:val="24"/>
        </w:rPr>
        <w:t>2</w:t>
      </w:r>
      <w:r w:rsidRPr="001A1BC4">
        <w:rPr>
          <w:rFonts w:ascii="Arial" w:eastAsia="宋体" w:hAnsi="Arial" w:cs="Arial"/>
          <w:color w:val="000000"/>
          <w:kern w:val="0"/>
          <w:sz w:val="24"/>
          <w:szCs w:val="24"/>
        </w:rPr>
        <w:t>月</w:t>
      </w:r>
      <w:r w:rsidRPr="001A1BC4">
        <w:rPr>
          <w:rFonts w:ascii="Arial" w:eastAsia="宋体" w:hAnsi="Arial" w:cs="Arial"/>
          <w:color w:val="000000"/>
          <w:kern w:val="0"/>
          <w:sz w:val="24"/>
          <w:szCs w:val="24"/>
        </w:rPr>
        <w:t>22</w:t>
      </w:r>
      <w:r w:rsidRPr="001A1BC4">
        <w:rPr>
          <w:rFonts w:ascii="Arial" w:eastAsia="宋体" w:hAnsi="Arial" w:cs="Arial"/>
          <w:color w:val="000000"/>
          <w:kern w:val="0"/>
          <w:sz w:val="24"/>
          <w:szCs w:val="24"/>
        </w:rPr>
        <w:t>日中华人民共和国主席令第七十号公布</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自</w:t>
      </w:r>
      <w:r w:rsidRPr="001A1BC4">
        <w:rPr>
          <w:rFonts w:ascii="Arial" w:eastAsia="宋体" w:hAnsi="Arial" w:cs="Arial"/>
          <w:color w:val="000000"/>
          <w:kern w:val="0"/>
          <w:sz w:val="24"/>
          <w:szCs w:val="24"/>
        </w:rPr>
        <w:t>1993</w:t>
      </w:r>
      <w:r w:rsidRPr="001A1BC4">
        <w:rPr>
          <w:rFonts w:ascii="Arial" w:eastAsia="宋体" w:hAnsi="Arial" w:cs="Arial"/>
          <w:color w:val="000000"/>
          <w:kern w:val="0"/>
          <w:sz w:val="24"/>
          <w:szCs w:val="24"/>
        </w:rPr>
        <w:t>年</w:t>
      </w:r>
      <w:r w:rsidRPr="001A1BC4">
        <w:rPr>
          <w:rFonts w:ascii="Arial" w:eastAsia="宋体" w:hAnsi="Arial" w:cs="Arial"/>
          <w:color w:val="000000"/>
          <w:kern w:val="0"/>
          <w:sz w:val="24"/>
          <w:szCs w:val="24"/>
        </w:rPr>
        <w:t>9</w:t>
      </w:r>
      <w:r w:rsidRPr="001A1BC4">
        <w:rPr>
          <w:rFonts w:ascii="Arial" w:eastAsia="宋体" w:hAnsi="Arial" w:cs="Arial"/>
          <w:color w:val="000000"/>
          <w:kern w:val="0"/>
          <w:sz w:val="24"/>
          <w:szCs w:val="24"/>
        </w:rPr>
        <w:t>月</w:t>
      </w:r>
      <w:r w:rsidRPr="001A1BC4">
        <w:rPr>
          <w:rFonts w:ascii="Arial" w:eastAsia="宋体" w:hAnsi="Arial" w:cs="Arial"/>
          <w:color w:val="000000"/>
          <w:kern w:val="0"/>
          <w:sz w:val="24"/>
          <w:szCs w:val="24"/>
        </w:rPr>
        <w:t>1</w:t>
      </w:r>
      <w:r w:rsidRPr="001A1BC4">
        <w:rPr>
          <w:rFonts w:ascii="Arial" w:eastAsia="宋体" w:hAnsi="Arial" w:cs="Arial"/>
          <w:color w:val="000000"/>
          <w:kern w:val="0"/>
          <w:sz w:val="24"/>
          <w:szCs w:val="24"/>
        </w:rPr>
        <w:t>日起施行）</w:t>
      </w:r>
      <w:r w:rsidRPr="001A1BC4">
        <w:rPr>
          <w:rFonts w:ascii="Arial" w:eastAsia="宋体" w:hAnsi="Arial" w:cs="Arial"/>
          <w:color w:val="000000"/>
          <w:kern w:val="0"/>
          <w:sz w:val="24"/>
          <w:szCs w:val="24"/>
        </w:rPr>
        <w:br/>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第一章</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总</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则</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第一条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为了加强对产品质量的监督管理，明确产品质量责任，保护用户、消费者的合法权益，维护社会经济秩序，制定本法。</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在中华人民共和国境内从事产品生产、销售活动，必须遵守本法。</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本法所称产品是指经过加工、制作，用于销售的产品。</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建设工程不适用本法规定。</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生产者、销售者依照本法规定承担产品质量责任。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禁止伪造或者冒用认证标志、名优标志等质量标志；禁止伪造产品的产地，伪造或者冒用他人的厂名、厂址；禁止在生产、销售的产品中掺杂、掺假，以假充真、以次充好。</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第五条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国家鼓励推行科学的质量管理方法，采用先进的科学技术，鼓励企业产品质量达到并且超过行业标准、国家标准和国际标准。对产品质量管理先进和产品质量达到国际先进水平、成绩显著的单位和个人，给予奖励。</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第六条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国务院产品质量监督管理部门负责全国产品质量监督管理工作。国务院有关部门在各自的职责范围内负责产品质量监督管理工作。</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县级以上地方人民政府管理产品质量监督工作的部门负责本行政区域内的</w:t>
      </w:r>
      <w:r w:rsidRPr="001A1BC4">
        <w:rPr>
          <w:rFonts w:ascii="Arial" w:eastAsia="宋体" w:hAnsi="Arial" w:cs="Arial"/>
          <w:color w:val="000000"/>
          <w:kern w:val="0"/>
          <w:sz w:val="24"/>
          <w:szCs w:val="24"/>
        </w:rPr>
        <w:lastRenderedPageBreak/>
        <w:t>产品质量监督管理工作。县级以上地方人民政府有关部门在各自的职责范围内负责产品质量监督管理工作。</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第二章</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产品质量的监督管理</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第七条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产品质量应当检验合格，不得以不合格产品冒充合格产品。</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第八条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可能危及人体健康和人身、财产安全的工业产品，必须符合保障人体健康，人身、财产安全的国家标准、行业标准；未制定国家标准、行业标准的，必须符合保障人体健康，人身、财产安全的要求。</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第九条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国家根据国际通用的质量管理标准，推行企业质量体系认证制度。企业根据自愿原则可以向国务院产品质量监督管理部门或者国务院产品质量监督管理部门授权的部门认可的认证机构申请企业质量体系认证。经认证合格的，由认证机构颁发企业质量体系认证证书。</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国家参照国际先进的产品标准和技术要求，推行产品质量认证制度。企业根据自愿原则可以向国务院产品质量监督管理部门或者国务院产品质量监督管理部门授权的部门认可的认证机构申请产品质量认证。经认证合格的，由认证机构颁发产品质量认证证书，准许企业在产品或者其包装上使用产品质量认证标志。</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第十条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国家对产品质量实行以抽查为主要方式的监督检查制度，对可能危及人体健康和人身、财产安全的产品，影响国计民生的重要工业产品以及用户、消费者、有关组织反映有质量问题的产品进行抽查。监督抽查工作由国务院产品质量监督管理部门规划和组织。县级以上地方人民政府管理产品质量监督工作的部门在本行政区域内也可以组织监督抽查，但是要防止重复抽查。产品质量抽查的结果应当公布。法律对产品质量的监督检查另有规定的，依照有</w:t>
      </w:r>
      <w:r w:rsidRPr="001A1BC4">
        <w:rPr>
          <w:rFonts w:ascii="Arial" w:eastAsia="宋体" w:hAnsi="Arial" w:cs="Arial"/>
          <w:color w:val="000000"/>
          <w:kern w:val="0"/>
          <w:sz w:val="24"/>
          <w:szCs w:val="24"/>
        </w:rPr>
        <w:lastRenderedPageBreak/>
        <w:t>关法律的规定执行。</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根据监督抽查的需要，可以对产品进行检验，但不得向企业收取检验费用。监督抽查所需检验费用按照国务院规定列支。</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第十一条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产品质量检验机构必须具备相应的检测条件和能力，经省级以上人民政府产品质量监督管理部门或者其授权的部门考核合格后，方可承担产品质量检验工作。法律、行政法规对产品质量检验机构另有规定的，依照有关的法律、行政法规的规定执行。</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第十二条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用户、消费者有权就产品质量问题，向产品的生产者、销售者查询；向产品质量监督管理部门、工商行政管理部门及有关部门申诉，有关部门应当负责处理。</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第十三条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保护消费者权益的社会组织可以就消费者反映的产品质量问题建议有关部门负责处理，支持消费者对因产品质量造成的损害向人民法院起诉。</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第三章</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生产者、销售者的产品质量责任和义务</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第一节</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生产者的产品质量责任和义务</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第十四条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生产者应当对其生产的产品质量负责。</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产品质量应当符合下列要求：</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（一）不存在危及人身、财产安全的不合理的危险，有保障人体健康，人身、财产安全的国家标准、行业标准的，应当符合该标准；</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（二）具备产品应当具备的使用性能，但是，对产品存在使用性能的瑕疵</w:t>
      </w:r>
      <w:proofErr w:type="gramStart"/>
      <w:r w:rsidRPr="001A1BC4">
        <w:rPr>
          <w:rFonts w:ascii="Arial" w:eastAsia="宋体" w:hAnsi="Arial" w:cs="Arial"/>
          <w:color w:val="000000"/>
          <w:kern w:val="0"/>
          <w:sz w:val="24"/>
          <w:szCs w:val="24"/>
        </w:rPr>
        <w:t>作出</w:t>
      </w:r>
      <w:proofErr w:type="gramEnd"/>
      <w:r w:rsidRPr="001A1BC4">
        <w:rPr>
          <w:rFonts w:ascii="Arial" w:eastAsia="宋体" w:hAnsi="Arial" w:cs="Arial"/>
          <w:color w:val="000000"/>
          <w:kern w:val="0"/>
          <w:sz w:val="24"/>
          <w:szCs w:val="24"/>
        </w:rPr>
        <w:t>说明的除外；</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（三）符合在产品或者其包装上注明采用的产品标准，符合以产品说明、</w:t>
      </w:r>
      <w:r w:rsidRPr="001A1BC4">
        <w:rPr>
          <w:rFonts w:ascii="Arial" w:eastAsia="宋体" w:hAnsi="Arial" w:cs="Arial"/>
          <w:color w:val="000000"/>
          <w:kern w:val="0"/>
          <w:sz w:val="24"/>
          <w:szCs w:val="24"/>
        </w:rPr>
        <w:lastRenderedPageBreak/>
        <w:t>实物样品等方式表明的质量状况。</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第十五条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产品或者其包装上的标识应当符合下列要求：</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（一）有产品质量检验合格证明；</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（二）有中文标明的产品名称、生产厂厂名和厂址；</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（三）根据产品的特点和使用要求，需要标明产品规格、等级、所含主要成份的名称和含量的，相应予以标明；</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（四）限期使用的产品，标明生产日期和安全使用期或者失效日期；</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（五）使用不当，容易造成产品本身损坏或者可能危及人身、财产安全的产品，有警示标志或者中文警示说明。</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裸装的食品和其他根据产品的特点难以附加标识的裸装产品，可以不附加产品标识。</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第十六条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剧毒、危险、易碎、储运中不能倒置以及有其他特殊要求的产品，其包装必须符合相应要求，有警示标志或者中文警示说明标明储运注意事项。</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第十七条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生产者不得生产国家明令淘汰的产品。</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第十八条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生产者不得伪造产地，不得伪造或者冒用他人的厂名、厂址。</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第十九条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生产者不得伪造或者冒用认证标志、名优标志等质量标志。</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第二十条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生产者生产产品，不得掺杂、掺假，不得以假充真、以次充好，不得以不合格产品冒充合格产品。</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第二节</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销售者的产品质量责任和义务</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第二十一条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销售者应当执行进货检查验收制度，验明产品合格证明和其他标识。</w:t>
      </w:r>
      <w:r w:rsidRPr="001A1BC4">
        <w:rPr>
          <w:rFonts w:ascii="Arial" w:eastAsia="宋体" w:hAnsi="Arial" w:cs="Arial"/>
          <w:color w:val="000000"/>
          <w:kern w:val="0"/>
          <w:sz w:val="24"/>
          <w:szCs w:val="24"/>
        </w:rPr>
        <w:br/>
      </w:r>
      <w:r w:rsidRPr="001A1BC4">
        <w:rPr>
          <w:rFonts w:ascii="Arial" w:eastAsia="宋体" w:hAnsi="Arial" w:cs="Arial"/>
          <w:color w:val="000000"/>
          <w:kern w:val="0"/>
          <w:sz w:val="24"/>
          <w:szCs w:val="24"/>
        </w:rPr>
        <w:lastRenderedPageBreak/>
        <w:t>        </w:t>
      </w:r>
      <w:r w:rsidRPr="001A1BC4">
        <w:rPr>
          <w:rFonts w:ascii="Arial" w:eastAsia="宋体" w:hAnsi="Arial" w:cs="Arial"/>
          <w:color w:val="000000"/>
          <w:kern w:val="0"/>
          <w:sz w:val="24"/>
          <w:szCs w:val="24"/>
        </w:rPr>
        <w:t>第二十二条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销售者应当采取措施，保持销售产品的质量。</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第二十三条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销售者不得销售失效、变质的产品。</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第二十四条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销售者销售的产品的标识应当符合本法第十五条的规定。</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第二十五条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销售者不得伪造产地，不得伪造或者冒用他人的厂名、厂址。</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第二十六条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销售者不得伪造或者冒用认证标志、名优标志等质量标志。</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第二十七条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销售者销售产品，不得掺杂、掺假，不得以假充真、以次充好，不得以不合格产品冒充合格产品。</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第四章</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损害赔偿</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第二十八条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售出的产品有下列情形之一的，销售者应当负责修理、更换、退货；给购买产品的用户、消费者造成损失的，销售者应当赔偿损失：</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（一）不具备产品应当具备的使用性能而事先未作说明的；</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（二）不符合在产品或者其包装上注明采用的产品标准的；</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（三）不符合以产品说明、实物样品等方式表明的质量状况的。</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销售者依照前款规定负责修理、更换、退货、赔偿损失后，属于生产者的责任或者属于向销售者提供产品的其他销售者（以下简称供货者）的责任的，销售者有权向生产者、供货者追偿。</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销售者未按照第一款规定给予修理、更换、退货或者赔偿损失的，由管理产品质量监督工作的部门或者工商行政管理部门责令改正。</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生产者之间、销售者之间、生产者与销售者之间订立的产品购销、加工承揽合同有不同约定的，合同当事人按照合同约定执行。</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第二十九条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因产品存在缺陷造成人身、缺陷产品以外的其他财产（以下</w:t>
      </w:r>
      <w:r w:rsidRPr="001A1BC4">
        <w:rPr>
          <w:rFonts w:ascii="Arial" w:eastAsia="宋体" w:hAnsi="Arial" w:cs="Arial"/>
          <w:color w:val="000000"/>
          <w:kern w:val="0"/>
          <w:sz w:val="24"/>
          <w:szCs w:val="24"/>
        </w:rPr>
        <w:lastRenderedPageBreak/>
        <w:t>简称他人财产）损害的，生产者应当承担赔偿责任。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生产者能够证明有下列情形之一的，不承担赔偿责任：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（一）未将产品投入流通的；</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（二）产品投入流通时，引起损害的缺陷尚不存在的；</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（三）将产品投入流通时的科学技术水平尚不能发现缺陷的存在的。</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第三十条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由于销售者的过错使产品存在缺陷，造成人身、他人财产损害的，销售者应当承担赔偿责任。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销售者不能指明缺陷产品的生产者也不能指明缺陷产品的供货者的，销售者应当承担赔偿责任。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第三十一条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第三十二条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因产品存在缺陷造成受害人人身伤害的，侵害人应当赔偿医疗费、因误工减少的收入、残废者生活补助费等费用；造成受害人死亡的，并应当支付丧葬费、抚恤费、死者生前抚养的人必要的生活费等费用。</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因产品存在缺陷造成受害人财产损失的，侵害人应当恢复原状或者折价赔偿。受害人因此遭受其他重大损失的，侵害人应当赔偿损失。</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第三十三条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因产品存在缺陷造成损害要求赔偿的诉讼时效期间为二年，自当事人知道或者应当知道其权益受到损害时起计算。</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因产品存在缺陷造成损害要求赔偿的请求权，在造成损害的缺陷产品交付</w:t>
      </w:r>
      <w:r w:rsidRPr="001A1BC4">
        <w:rPr>
          <w:rFonts w:ascii="Arial" w:eastAsia="宋体" w:hAnsi="Arial" w:cs="Arial"/>
          <w:color w:val="000000"/>
          <w:kern w:val="0"/>
          <w:sz w:val="24"/>
          <w:szCs w:val="24"/>
        </w:rPr>
        <w:lastRenderedPageBreak/>
        <w:t>最初用户、消费者满十年丧失；但是，尚未超过明示的安全使用期的除外。</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第三十四条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本法所称缺陷，是指产品存在危及人身、他人财产安全的不合理的危险；产品有保障人体健康，人身、财产安全的国家标准、行业标准的，是指不符合该标准。</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第三十五条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因产品质量发生民事纠纷时，当事人可以通过协商或者调解解决。当事人不愿通过协商、调解解决或者协商、调解不成的，可以根据当事人各方的协议向仲裁机构申请仲裁；当事人各方没有达成仲裁协议的，可以向人民法院起诉。</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第三十六条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仲裁机构或者人民法院可以委托本法第十一条规定的产品质量检验机构，对有关产品质量进行检验。</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第五章</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罚</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则</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第三十七条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不符合保障人体健康，人身、财产安全的国家标准、行业标准的产品的，责令停止生产，没收违法生产的产品和违法所得，并处违法所得一倍以上五倍以下的罚款，可以吊销营业执照；构成犯罪的，依法追究刑事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销售不符合保障人体健康，人身、财产安全的国家标准、行业标准的产品的，责令停止销售。销售明知是不符合保障人体健康，人身、财产安全的国家标准、行业标准的产品的，没收违法销售的产品和违法所得，并处违法所得一倍以上五倍以下的罚款，可以吊销营业执照；构成犯罪的，依法追究刑事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第三十八条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生产者、销售者在产品中掺杂、掺假，以假充真，以次充好，或者以不合格产品冒充合格产品的，责令停止生产、销售，没收违法所</w:t>
      </w:r>
      <w:r w:rsidRPr="001A1BC4">
        <w:rPr>
          <w:rFonts w:ascii="Arial" w:eastAsia="宋体" w:hAnsi="Arial" w:cs="Arial"/>
          <w:color w:val="000000"/>
          <w:kern w:val="0"/>
          <w:sz w:val="24"/>
          <w:szCs w:val="24"/>
        </w:rPr>
        <w:lastRenderedPageBreak/>
        <w:t>得，并处违法所得一倍以上五倍以下的罚款，可以吊销营业执照；构成犯罪的，依法追究刑事责任。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第三十九条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生产国家明令淘汰的产品的，责令停止生产，没收违法生产的产品和违法所得，并处违法所得一倍以上五倍以下的罚款，可以吊销营业执照。</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第四十条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销售失效、变质产品的，责令停止销售，没收违法销售的产品和违法所得，并处违法所得一倍以上五倍以下的罚款，可以吊销营业执照；构成犯罪的，依法追究刑事责任。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第四十一条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生产者、销售者伪造产品的产地的，伪造或者冒用他人的厂名、厂址的，伪造或者冒用认证标志、名优标志等质量标志的，责令公开更正，没收违法所得，可以并处罚款。</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第四十二条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以行贿、受贿或者其他非法手段推销、采购本法第三十七条至第四十条所列产品，构成犯罪的，依法追究刑事责任。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第四十三条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产品标识不符合本法第十五条规定的，责令改正；有包装的产品标识不符合本法第十五条第（四）项、第（五）项规定，情节严重的，可以责令停止生产、销售，并可以处以违法所得百分之十五至百分之二十的罚款。</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第四十四条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伪造检验数据或者伪造检验结论的，责令更正，可以处以所收检验费一倍以上三倍以下的罚款；情节严重的，吊销营业执照；构成犯罪的，对直接责任人员比照刑法第一百六十七条的规定追究刑事责任。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第四十五条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本法规定的吊销营业执照的行政处罚由工商行政管理部门决定，其他行政处罚由管理产品质量监督工作的部门或者工商行政管理部门按照</w:t>
      </w:r>
      <w:r w:rsidRPr="001A1BC4">
        <w:rPr>
          <w:rFonts w:ascii="Arial" w:eastAsia="宋体" w:hAnsi="Arial" w:cs="Arial"/>
          <w:color w:val="000000"/>
          <w:kern w:val="0"/>
          <w:sz w:val="24"/>
          <w:szCs w:val="24"/>
        </w:rPr>
        <w:lastRenderedPageBreak/>
        <w:t>国务院规定的职权范围决定。法律、行政法规对行使行政处罚权的机关另有规定的，依照有关法律、行政法规的规定执行。</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第四十六条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当事人对行政处罚决定不服的，可以在接到处罚通知之日起十五日内向</w:t>
      </w:r>
      <w:proofErr w:type="gramStart"/>
      <w:r w:rsidRPr="001A1BC4">
        <w:rPr>
          <w:rFonts w:ascii="Arial" w:eastAsia="宋体" w:hAnsi="Arial" w:cs="Arial"/>
          <w:color w:val="000000"/>
          <w:kern w:val="0"/>
          <w:sz w:val="24"/>
          <w:szCs w:val="24"/>
        </w:rPr>
        <w:t>作出</w:t>
      </w:r>
      <w:proofErr w:type="gramEnd"/>
      <w:r w:rsidRPr="001A1BC4">
        <w:rPr>
          <w:rFonts w:ascii="Arial" w:eastAsia="宋体" w:hAnsi="Arial" w:cs="Arial"/>
          <w:color w:val="000000"/>
          <w:kern w:val="0"/>
          <w:sz w:val="24"/>
          <w:szCs w:val="24"/>
        </w:rPr>
        <w:t>处罚决定的机关的上一级机关申请复议；当事人也可以在接到处罚通知之日起十五日内直接向人民法院起诉。</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复议机关应当在接到复议申请之日起六十日内</w:t>
      </w:r>
      <w:proofErr w:type="gramStart"/>
      <w:r w:rsidRPr="001A1BC4">
        <w:rPr>
          <w:rFonts w:ascii="Arial" w:eastAsia="宋体" w:hAnsi="Arial" w:cs="Arial"/>
          <w:color w:val="000000"/>
          <w:kern w:val="0"/>
          <w:sz w:val="24"/>
          <w:szCs w:val="24"/>
        </w:rPr>
        <w:t>作出</w:t>
      </w:r>
      <w:proofErr w:type="gramEnd"/>
      <w:r w:rsidRPr="001A1BC4">
        <w:rPr>
          <w:rFonts w:ascii="Arial" w:eastAsia="宋体" w:hAnsi="Arial" w:cs="Arial"/>
          <w:color w:val="000000"/>
          <w:kern w:val="0"/>
          <w:sz w:val="24"/>
          <w:szCs w:val="24"/>
        </w:rPr>
        <w:t>复议决定。当事人对复议决定不服的，可以在接到复议决定之日起十五日内向人民法院起诉。复议机关逾期不</w:t>
      </w:r>
      <w:proofErr w:type="gramStart"/>
      <w:r w:rsidRPr="001A1BC4">
        <w:rPr>
          <w:rFonts w:ascii="Arial" w:eastAsia="宋体" w:hAnsi="Arial" w:cs="Arial"/>
          <w:color w:val="000000"/>
          <w:kern w:val="0"/>
          <w:sz w:val="24"/>
          <w:szCs w:val="24"/>
        </w:rPr>
        <w:t>作出</w:t>
      </w:r>
      <w:proofErr w:type="gramEnd"/>
      <w:r w:rsidRPr="001A1BC4">
        <w:rPr>
          <w:rFonts w:ascii="Arial" w:eastAsia="宋体" w:hAnsi="Arial" w:cs="Arial"/>
          <w:color w:val="000000"/>
          <w:kern w:val="0"/>
          <w:sz w:val="24"/>
          <w:szCs w:val="24"/>
        </w:rPr>
        <w:t>复议决定的，当事人可以在复议期满之日起十五日内向人民法院起诉。</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当事人逾期不申请复议也不向人民法院起诉、又不履行处罚决定的，</w:t>
      </w:r>
      <w:proofErr w:type="gramStart"/>
      <w:r w:rsidRPr="001A1BC4">
        <w:rPr>
          <w:rFonts w:ascii="Arial" w:eastAsia="宋体" w:hAnsi="Arial" w:cs="Arial"/>
          <w:color w:val="000000"/>
          <w:kern w:val="0"/>
          <w:sz w:val="24"/>
          <w:szCs w:val="24"/>
        </w:rPr>
        <w:t>作出</w:t>
      </w:r>
      <w:proofErr w:type="gramEnd"/>
      <w:r w:rsidRPr="001A1BC4">
        <w:rPr>
          <w:rFonts w:ascii="Arial" w:eastAsia="宋体" w:hAnsi="Arial" w:cs="Arial"/>
          <w:color w:val="000000"/>
          <w:kern w:val="0"/>
          <w:sz w:val="24"/>
          <w:szCs w:val="24"/>
        </w:rPr>
        <w:t>处罚决定的机关可以申请人民法院强制执行。</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第四十七条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从事产品质量监督管理的国家工作人员滥用职权、玩忽职守、徇私舞弊，构成犯罪的，依法追究刑事责任；不构成犯罪的，给予行政处分。</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第四十八条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国家工作人员利用职务，对明知有违反本法规定构成犯罪的行为的企业事业单位或者个人故意包庇使其不受追诉的，依法追究刑事责任。</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第四十九条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以暴力、威胁方法阻碍从事产品质量监督管理的国家工作人员依法执行职务的，依照刑法第一百五十七条的规定追究刑事责任；拒绝、阻碍从事产品质量监督管理的国家工作人员依法执行职务未使用暴力、威胁方法的，由公安机关依照治安管理处罚条例的规定处罚。</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第六章</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附</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则</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第五十条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军工产品质量监督管理办法，由国务院、中央军事委员会另行</w:t>
      </w:r>
      <w:r w:rsidRPr="001A1BC4">
        <w:rPr>
          <w:rFonts w:ascii="Arial" w:eastAsia="宋体" w:hAnsi="Arial" w:cs="Arial"/>
          <w:color w:val="000000"/>
          <w:kern w:val="0"/>
          <w:sz w:val="24"/>
          <w:szCs w:val="24"/>
        </w:rPr>
        <w:lastRenderedPageBreak/>
        <w:t>制定。</w:t>
      </w:r>
      <w:r w:rsidRPr="001A1BC4">
        <w:rPr>
          <w:rFonts w:ascii="Arial" w:eastAsia="宋体" w:hAnsi="Arial" w:cs="Arial"/>
          <w:color w:val="000000"/>
          <w:kern w:val="0"/>
          <w:sz w:val="24"/>
          <w:szCs w:val="24"/>
        </w:rPr>
        <w:br/>
        <w:t>        </w:t>
      </w:r>
      <w:r w:rsidRPr="001A1BC4">
        <w:rPr>
          <w:rFonts w:ascii="Arial" w:eastAsia="宋体" w:hAnsi="Arial" w:cs="Arial"/>
          <w:color w:val="000000"/>
          <w:kern w:val="0"/>
          <w:sz w:val="24"/>
          <w:szCs w:val="24"/>
        </w:rPr>
        <w:t>第五十一条</w:t>
      </w:r>
      <w:r w:rsidRPr="001A1BC4">
        <w:rPr>
          <w:rFonts w:ascii="Arial" w:eastAsia="宋体" w:hAnsi="Arial" w:cs="Arial"/>
          <w:color w:val="000000"/>
          <w:kern w:val="0"/>
          <w:sz w:val="24"/>
          <w:szCs w:val="24"/>
        </w:rPr>
        <w:t>    </w:t>
      </w:r>
      <w:r w:rsidRPr="001A1BC4">
        <w:rPr>
          <w:rFonts w:ascii="Arial" w:eastAsia="宋体" w:hAnsi="Arial" w:cs="Arial"/>
          <w:color w:val="000000"/>
          <w:kern w:val="0"/>
          <w:sz w:val="24"/>
          <w:szCs w:val="24"/>
        </w:rPr>
        <w:t>本法自１９９３年９月１日起施行。</w:t>
      </w:r>
      <w:r w:rsidRPr="001A1BC4">
        <w:rPr>
          <w:rFonts w:ascii="Arial" w:eastAsia="宋体" w:hAnsi="Arial" w:cs="Arial"/>
          <w:color w:val="000000"/>
          <w:kern w:val="0"/>
          <w:sz w:val="24"/>
          <w:szCs w:val="24"/>
        </w:rPr>
        <w:t xml:space="preserve"> </w:t>
      </w:r>
    </w:p>
    <w:p w:rsidR="001A1BC4" w:rsidRPr="001A1BC4" w:rsidRDefault="001A1BC4" w:rsidP="001A1BC4">
      <w:pPr>
        <w:widowControl/>
        <w:shd w:val="clear" w:color="auto" w:fill="FFFFFF"/>
        <w:spacing w:line="480" w:lineRule="auto"/>
        <w:jc w:val="left"/>
        <w:rPr>
          <w:rFonts w:ascii="Arial" w:eastAsia="宋体" w:hAnsi="Arial" w:cs="Arial"/>
          <w:color w:val="000000"/>
          <w:kern w:val="0"/>
          <w:sz w:val="24"/>
          <w:szCs w:val="24"/>
        </w:rPr>
      </w:pPr>
      <w:r w:rsidRPr="001A1BC4">
        <w:rPr>
          <w:rFonts w:ascii="Arial" w:eastAsia="宋体" w:hAnsi="Arial" w:cs="Arial" w:hint="eastAsia"/>
          <w:color w:val="000000"/>
          <w:kern w:val="0"/>
          <w:sz w:val="24"/>
          <w:szCs w:val="24"/>
        </w:rPr>
        <w:t>（注：本信息引用自</w:t>
      </w:r>
      <w:hyperlink r:id="rId4" w:tgtFrame="_blank" w:history="1">
        <w:r w:rsidRPr="001A1BC4">
          <w:rPr>
            <w:rFonts w:ascii="Arial" w:eastAsia="宋体" w:hAnsi="Arial" w:cs="Arial"/>
            <w:color w:val="000000"/>
            <w:kern w:val="0"/>
            <w:sz w:val="24"/>
            <w:szCs w:val="24"/>
          </w:rPr>
          <w:t>全国人大</w:t>
        </w:r>
        <w:r w:rsidRPr="001A1BC4">
          <w:rPr>
            <w:rFonts w:ascii="Arial" w:eastAsia="宋体" w:hAnsi="Arial" w:cs="Arial" w:hint="eastAsia"/>
            <w:color w:val="000000"/>
            <w:kern w:val="0"/>
            <w:sz w:val="24"/>
            <w:szCs w:val="24"/>
          </w:rPr>
          <w:t>网</w:t>
        </w:r>
      </w:hyperlink>
      <w:r w:rsidRPr="001A1BC4">
        <w:rPr>
          <w:rFonts w:ascii="Arial" w:eastAsia="宋体" w:hAnsi="Arial" w:cs="Arial" w:hint="eastAsia"/>
          <w:color w:val="000000"/>
          <w:kern w:val="0"/>
          <w:sz w:val="24"/>
          <w:szCs w:val="24"/>
        </w:rPr>
        <w:t>，仅供参考</w:t>
      </w:r>
      <w:r>
        <w:rPr>
          <w:rFonts w:ascii="Arial" w:eastAsia="宋体" w:hAnsi="Arial" w:cs="Arial" w:hint="eastAsia"/>
          <w:color w:val="000000"/>
          <w:kern w:val="0"/>
          <w:sz w:val="24"/>
          <w:szCs w:val="24"/>
        </w:rPr>
        <w:t>。</w:t>
      </w:r>
      <w:r w:rsidRPr="001A1BC4">
        <w:rPr>
          <w:rFonts w:ascii="Arial" w:eastAsia="宋体" w:hAnsi="Arial" w:cs="Arial"/>
          <w:color w:val="000000"/>
          <w:kern w:val="0"/>
          <w:sz w:val="24"/>
          <w:szCs w:val="24"/>
        </w:rPr>
        <w:t>http://www.npc.gov.cn/wxzl/wxzl/2000-12/05/content_4578.htm</w:t>
      </w:r>
      <w:r w:rsidRPr="001A1BC4">
        <w:rPr>
          <w:rFonts w:ascii="Arial" w:eastAsia="宋体" w:hAnsi="Arial" w:cs="Arial" w:hint="eastAsia"/>
          <w:color w:val="000000"/>
          <w:kern w:val="0"/>
          <w:sz w:val="24"/>
          <w:szCs w:val="24"/>
        </w:rPr>
        <w:t>）</w:t>
      </w:r>
    </w:p>
    <w:p w:rsidR="00F30A4A" w:rsidRPr="001A1BC4" w:rsidRDefault="00F30A4A"/>
    <w:sectPr w:rsidR="00F30A4A" w:rsidRPr="001A1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C4"/>
    <w:rsid w:val="001A1BC4"/>
    <w:rsid w:val="00F3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DF9E"/>
  <w15:chartTrackingRefBased/>
  <w15:docId w15:val="{EDC9D3DD-A60F-4FFD-A9AB-EE976143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1BC4"/>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365824">
      <w:bodyDiv w:val="1"/>
      <w:marLeft w:val="0"/>
      <w:marRight w:val="0"/>
      <w:marTop w:val="0"/>
      <w:marBottom w:val="0"/>
      <w:divBdr>
        <w:top w:val="none" w:sz="0" w:space="0" w:color="auto"/>
        <w:left w:val="none" w:sz="0" w:space="0" w:color="auto"/>
        <w:bottom w:val="none" w:sz="0" w:space="0" w:color="auto"/>
        <w:right w:val="none" w:sz="0" w:space="0" w:color="auto"/>
      </w:divBdr>
      <w:divsChild>
        <w:div w:id="2085712005">
          <w:marLeft w:val="0"/>
          <w:marRight w:val="0"/>
          <w:marTop w:val="0"/>
          <w:marBottom w:val="0"/>
          <w:divBdr>
            <w:top w:val="none" w:sz="0" w:space="0" w:color="auto"/>
            <w:left w:val="none" w:sz="0" w:space="0" w:color="auto"/>
            <w:bottom w:val="none" w:sz="0" w:space="0" w:color="auto"/>
            <w:right w:val="none" w:sz="0" w:space="0" w:color="auto"/>
          </w:divBdr>
        </w:div>
        <w:div w:id="1126116758">
          <w:marLeft w:val="0"/>
          <w:marRight w:val="0"/>
          <w:marTop w:val="0"/>
          <w:marBottom w:val="0"/>
          <w:divBdr>
            <w:top w:val="single" w:sz="6" w:space="3" w:color="666666"/>
            <w:left w:val="none" w:sz="0" w:space="0" w:color="auto"/>
            <w:bottom w:val="single" w:sz="6" w:space="0" w:color="66666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law.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935</Words>
  <Characters>5332</Characters>
  <Application>Microsoft Office Word</Application>
  <DocSecurity>0</DocSecurity>
  <Lines>44</Lines>
  <Paragraphs>12</Paragraphs>
  <ScaleCrop>false</ScaleCrop>
  <Company>微软中国</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1</cp:revision>
  <dcterms:created xsi:type="dcterms:W3CDTF">2020-10-23T03:04:00Z</dcterms:created>
  <dcterms:modified xsi:type="dcterms:W3CDTF">2020-10-23T03:07:00Z</dcterms:modified>
</cp:coreProperties>
</file>